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การแจ้งเคลื่อนย้ายอาคารตามมาตรา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สำเนาบัตรประชาชนและสำเนาทะเบียนบ้านของผู้มีอำนาจลงนามแทนนิติบุคคลผู้รับมอบอำนาจเจ้าของที่ดิน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 องค์การบริหารส่วนตำบลหัวต 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