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การแจ้งดัดแปลงอาคารตามมาตรา 39 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ผูใดจะดัดแปลงอาคารโดยไมยื่นคําขอรับใบอนุญาตจากเจาพนักงานทองถิ่นก็ได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๓๙ 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๓๙ ทวิ ให้เจ้าพนักงานท้องถิ่นมีอำนาจสั่งให้ผู้แจ้งมาดำเนินการ แก้ไขให้ถูกต้องหรือครบถ้วนภายใน ๗ วันนับแต่วันที่ได้รับแจ้งคำสั่งดังกล่าว และภายใน ๑๒๐ วันนับแต่วันที่ได้ออกใบรับแจ้งตามมาตรา ๓๙ ทวิ หรือนับแต่วันที่เริ่มการดัดแปลงอาคารตามที่ได้แจ้งไว้ ถ้าเจ้าพนักงานท้องถิ่นได้ตรวจพบว่าการดัดแปลงอาคารที่ได้แจ้งไว้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๓๙ 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 โทร.075-750093/www.huatapan.go.th/ติดต่อด้วยตนเอง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ยื่นแจ้งดัดแปลงอาคาร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เจ้าพนักงานท้องถิ่นตรวจพิจารณาแบบแปลนและมีหนังสือแจ้งผู้ยื่นแจ้งทราบ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ในพื้นที่ที่จะดำเนินการดัดแปลงอาคาร)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แบบการแจ้งดัดแปลงอาคารตามที่เจ้าพนักงานท้องถิ่นกำหนด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ใบอนุญาตหรือใบรับแจ้งก่อสร้างอาคารเดิมที่ได้รับอนุญาต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(เอกสารในส่วนของผู้แจ้งดัดแปลงอาคาร)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(ระดับวุฒิสถาปนิก)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 (ระดับวุฒิวิศวกร)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การแจ้งดัดแปลงอาคารตามมาตรา 39 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การแจ้งดัดแปลงอาคารตามมาตรา 39 ทวิ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